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38077" w14:textId="77777777" w:rsidR="00607D91" w:rsidRDefault="00607D91" w:rsidP="00607D91">
      <w:pPr>
        <w:spacing w:after="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PRIJEDLOG</w:t>
      </w:r>
    </w:p>
    <w:p w14:paraId="2F743776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289. stavka 7. Zakona o socijalnoj skrbi (Narodne novine 18/22, 46/22, 119/22 i 71/23) i članka 41. točke 2. Statuta Grada Zagreba (Službeni glasnik Grada Zagreba 23/16, 2/18, 23/18, 3/20, 3/21, 11/21 - pročišćeni tekst i 16/22), Gradska skupština Grada Zagreba, na _______ sjednici, _____________, donijela je</w:t>
      </w:r>
    </w:p>
    <w:p w14:paraId="188088BB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1D714DAA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1EBD33B9" w14:textId="77777777" w:rsidR="00607D91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ODLUKU</w:t>
      </w:r>
    </w:p>
    <w:p w14:paraId="5B760630" w14:textId="77777777" w:rsidR="00607D91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izmjenama i dopunama Odluke o socijalnoj skrbi</w:t>
      </w:r>
    </w:p>
    <w:p w14:paraId="59D8524D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01BA181B" w14:textId="77777777" w:rsidR="00607D91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5B3B75B6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67F93088" w14:textId="072AE073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Odluci o socijalnoj skrbi (Službeni glasnik Grada Zagreba 22/22, 29/22, 8/23, 30/23 i 39/23 – pročišćeni tekst) u članku 4. točki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NOVČANE NAKNADE</w:t>
      </w:r>
      <w:r>
        <w:rPr>
          <w:rFonts w:ascii="Times New Roman" w:hAnsi="Times New Roman"/>
          <w:sz w:val="24"/>
          <w:szCs w:val="24"/>
        </w:rPr>
        <w:t xml:space="preserve"> iza alineje 3. dodaje se alineja 4. koja glasi:</w:t>
      </w:r>
    </w:p>
    <w:p w14:paraId="08FF2844" w14:textId="2DF57A04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„- </w:t>
      </w:r>
      <w:bookmarkStart w:id="1" w:name="_Hlk160608014"/>
      <w:r>
        <w:rPr>
          <w:rFonts w:ascii="Times New Roman" w:hAnsi="Times New Roman"/>
          <w:sz w:val="24"/>
          <w:szCs w:val="24"/>
        </w:rPr>
        <w:t xml:space="preserve">novčana naknada </w:t>
      </w:r>
      <w:bookmarkEnd w:id="1"/>
      <w:r>
        <w:rPr>
          <w:rFonts w:ascii="Times New Roman" w:hAnsi="Times New Roman"/>
          <w:sz w:val="24"/>
          <w:szCs w:val="24"/>
        </w:rPr>
        <w:t>korisnicima inkluzivnog dodatka;“.</w:t>
      </w:r>
    </w:p>
    <w:p w14:paraId="3D56C538" w14:textId="25C7B1E5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Dosadašnje alineje 4., 5., 6., 7., 8. i 9. postaju alineje 5., 6., 7., 8., 9. i 10.</w:t>
      </w:r>
    </w:p>
    <w:p w14:paraId="79006DB0" w14:textId="207CEE6D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73D39E3E" w14:textId="2A334892" w:rsidR="00607D91" w:rsidRPr="00736222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r w:rsidRPr="00736222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49B4CA19" w14:textId="73EC4845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3DE8896E" w14:textId="2F76D2DB" w:rsidR="00607D91" w:rsidRDefault="00607D91" w:rsidP="00607D91">
      <w:pPr>
        <w:spacing w:after="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5. stavku 1. riječi: „točke 1. alineja 1., 2., 3., 4., 5., 6., 7. i 9.“ zamjenjuju se riječima: „točke 1. alineja 1., 2., 3., 4., 5., 6., 7., 8. i 10.“.</w:t>
      </w:r>
    </w:p>
    <w:p w14:paraId="1CED09CB" w14:textId="77777777" w:rsidR="00607D91" w:rsidRDefault="00607D91" w:rsidP="00607D91">
      <w:pPr>
        <w:spacing w:after="2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Stavak 2. mijenja se i glasi:</w:t>
      </w:r>
    </w:p>
    <w:p w14:paraId="4C9D7980" w14:textId="181FF283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„Korisnicima novčane naknade iz članka 4. točke 1. alineja 1., 3., 4. i 7. ove odluke može se isplatiti novčani iznos povodom blagdana Uskrsa (</w:t>
      </w:r>
      <w:proofErr w:type="spellStart"/>
      <w:r>
        <w:rPr>
          <w:rFonts w:ascii="Times New Roman" w:hAnsi="Times New Roman"/>
          <w:sz w:val="24"/>
          <w:szCs w:val="24"/>
        </w:rPr>
        <w:t>uskrsnica</w:t>
      </w:r>
      <w:proofErr w:type="spellEnd"/>
      <w:r>
        <w:rPr>
          <w:rFonts w:ascii="Times New Roman" w:hAnsi="Times New Roman"/>
          <w:sz w:val="24"/>
          <w:szCs w:val="24"/>
        </w:rPr>
        <w:t>) i Božića (božićnica), sukladno proračunskim mogućnostima, o čemu odlučuje gradonačelnik.“.</w:t>
      </w:r>
    </w:p>
    <w:p w14:paraId="4A9D6FFC" w14:textId="77777777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509C9A93" w14:textId="06F87060" w:rsidR="00607D91" w:rsidRPr="000D43CB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3CB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07145548" w14:textId="77777777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03FBBBB7" w14:textId="01752B8C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12. stavak 2. mijenja se i glasi:</w:t>
      </w:r>
    </w:p>
    <w:p w14:paraId="6C2FA74F" w14:textId="446FC04B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11177">
        <w:rPr>
          <w:rFonts w:ascii="Times New Roman" w:hAnsi="Times New Roman"/>
          <w:sz w:val="24"/>
          <w:szCs w:val="24"/>
        </w:rPr>
        <w:t xml:space="preserve">Djeci do navršene 18. godine života, odnosno do završetka redovnog školovanja, a najduže do navršene 26. godine života, priznaje se pravo na novčanu naknadu korisnicima </w:t>
      </w:r>
      <w:r>
        <w:rPr>
          <w:rFonts w:ascii="Times New Roman" w:hAnsi="Times New Roman"/>
          <w:sz w:val="24"/>
          <w:szCs w:val="24"/>
        </w:rPr>
        <w:t xml:space="preserve">doplatka za </w:t>
      </w:r>
      <w:r w:rsidRPr="00607D91">
        <w:rPr>
          <w:rFonts w:ascii="Times New Roman" w:hAnsi="Times New Roman"/>
          <w:sz w:val="24"/>
          <w:szCs w:val="24"/>
        </w:rPr>
        <w:t xml:space="preserve">pomoć i njegu i korisnicima osobne invalidnine u većem iznosu koju za svaku godinu utvrđuje </w:t>
      </w:r>
      <w:r w:rsidRPr="00011177">
        <w:rPr>
          <w:rFonts w:ascii="Times New Roman" w:hAnsi="Times New Roman"/>
          <w:sz w:val="24"/>
          <w:szCs w:val="24"/>
        </w:rPr>
        <w:t>gradonačelnik Grada Zagreba.</w:t>
      </w:r>
      <w:r>
        <w:rPr>
          <w:rFonts w:ascii="Times New Roman" w:hAnsi="Times New Roman"/>
          <w:sz w:val="24"/>
          <w:szCs w:val="24"/>
        </w:rPr>
        <w:t>“</w:t>
      </w:r>
    </w:p>
    <w:p w14:paraId="4D02D88C" w14:textId="013A4270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3313726B" w14:textId="5A4D31F1" w:rsidR="00607D91" w:rsidRPr="000D43CB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r w:rsidRPr="000D43CB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6C3C77AC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83DCC7" w14:textId="1727D759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Iza članka 14. dodaje se podnaslov i članci 14.a i 14.b koji glase:</w:t>
      </w:r>
    </w:p>
    <w:p w14:paraId="46B9C35E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60790526"/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NOVČANA NAKNADA KORISNICIMA INKLUZIVNOG DODATKA</w:t>
      </w:r>
    </w:p>
    <w:p w14:paraId="5F88B767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1AF0C47C" w14:textId="562A1AA2" w:rsidR="00607D91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3" w:name="_Hlk160790466"/>
      <w:r>
        <w:rPr>
          <w:rFonts w:ascii="Times New Roman" w:hAnsi="Times New Roman"/>
          <w:b/>
          <w:bCs/>
          <w:sz w:val="24"/>
          <w:szCs w:val="24"/>
        </w:rPr>
        <w:t>Članak 14.a</w:t>
      </w:r>
    </w:p>
    <w:p w14:paraId="21AE8943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3FD49C5E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Pravo na novčanu naknadu korisnicima inkluzivnog dodatka ostvaruju korisnici inkluzivnog dodatka kojima je to pravo priznato sukladno zakonu kojim se uređuje inkluzivni dodatak.</w:t>
      </w:r>
    </w:p>
    <w:bookmarkEnd w:id="2"/>
    <w:bookmarkEnd w:id="3"/>
    <w:p w14:paraId="6AFD9CAF" w14:textId="1AD19031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Djeci do navršene 18. godine života, odnosno do završetka redovnog školovanja, a najduže do navršene 26. godine života, priznaje se pravo na novčanu naknadu </w:t>
      </w:r>
      <w:r w:rsidRPr="00954FBC">
        <w:rPr>
          <w:rFonts w:ascii="Times New Roman" w:hAnsi="Times New Roman"/>
          <w:sz w:val="24"/>
          <w:szCs w:val="24"/>
        </w:rPr>
        <w:t xml:space="preserve">korisnicima </w:t>
      </w:r>
      <w:r w:rsidRPr="00607D91">
        <w:rPr>
          <w:rFonts w:ascii="Times New Roman" w:hAnsi="Times New Roman"/>
          <w:sz w:val="24"/>
          <w:szCs w:val="24"/>
        </w:rPr>
        <w:t xml:space="preserve">inkluzivnog dodatka u većem iznosu koju za svaku godinu utvrđuje gradonačelnik Grada </w:t>
      </w:r>
      <w:r>
        <w:rPr>
          <w:rFonts w:ascii="Times New Roman" w:hAnsi="Times New Roman"/>
          <w:sz w:val="24"/>
          <w:szCs w:val="24"/>
        </w:rPr>
        <w:t>Zagreba.</w:t>
      </w:r>
    </w:p>
    <w:p w14:paraId="3744C567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C54133A" w14:textId="1C316726" w:rsidR="00607D91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14.b</w:t>
      </w:r>
    </w:p>
    <w:p w14:paraId="70728B75" w14:textId="77777777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755CFD37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Korisniku prava na novčanu naknadu korisnicima inkluzivnog dodatka kojemu pravo na inkluzivni dodatak miruje na temelju rješenja nadležnog tijela sukladno zakonu kojim se uređuje inkluzivni dodatak, ured će rješenjem o mirovanju prava na novčanu naknadu korisnicima inkluzivnog dodatka obustaviti isplatu novčane naknade korisnicima inkluzivnog dodatka.</w:t>
      </w:r>
    </w:p>
    <w:p w14:paraId="0B6B0E9C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Rješenjem o prestanku mirovanja prava na novčanu naknadu korisnicima inkluzivnog dodatka ured će odlučiti i o nastavku isplate novčane naknade korisnicima inkluzivnog dodatka, koja počinje teći od prvog dana sljedećeg mjeseca nakon prestanka mirovanja prava na inkluzivni dodatak.“</w:t>
      </w:r>
    </w:p>
    <w:p w14:paraId="251C323E" w14:textId="77777777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45C03782" w14:textId="7D880D4F" w:rsidR="00607D91" w:rsidRDefault="00607D91" w:rsidP="00607D91">
      <w:pPr>
        <w:spacing w:after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5.</w:t>
      </w:r>
    </w:p>
    <w:p w14:paraId="7A1E5EE6" w14:textId="77777777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7A2B943D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bookmarkStart w:id="4" w:name="_Hlk166153053"/>
      <w:r>
        <w:rPr>
          <w:rFonts w:ascii="Times New Roman" w:hAnsi="Times New Roman"/>
          <w:sz w:val="24"/>
          <w:szCs w:val="24"/>
        </w:rPr>
        <w:t xml:space="preserve">članku 35. stavku 1. </w:t>
      </w:r>
      <w:proofErr w:type="spellStart"/>
      <w:r>
        <w:rPr>
          <w:rFonts w:ascii="Times New Roman" w:hAnsi="Times New Roman"/>
          <w:sz w:val="24"/>
          <w:szCs w:val="24"/>
        </w:rPr>
        <w:t>podtočka</w:t>
      </w:r>
      <w:proofErr w:type="spellEnd"/>
      <w:r>
        <w:rPr>
          <w:rFonts w:ascii="Times New Roman" w:hAnsi="Times New Roman"/>
          <w:sz w:val="24"/>
          <w:szCs w:val="24"/>
        </w:rPr>
        <w:t xml:space="preserve"> d) mijenja se i glasi:</w:t>
      </w:r>
    </w:p>
    <w:p w14:paraId="74E2DD92" w14:textId="77777777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„d) pratitelj </w:t>
      </w:r>
      <w:bookmarkStart w:id="5" w:name="_Hlk166152849"/>
      <w:r>
        <w:rPr>
          <w:rFonts w:ascii="Times New Roman" w:hAnsi="Times New Roman"/>
          <w:sz w:val="24"/>
          <w:szCs w:val="24"/>
        </w:rPr>
        <w:t xml:space="preserve">slijepe osobe </w:t>
      </w:r>
      <w:bookmarkEnd w:id="5"/>
      <w:r>
        <w:rPr>
          <w:rFonts w:ascii="Times New Roman" w:hAnsi="Times New Roman"/>
          <w:sz w:val="24"/>
          <w:szCs w:val="24"/>
        </w:rPr>
        <w:t xml:space="preserve">iz </w:t>
      </w:r>
      <w:proofErr w:type="spellStart"/>
      <w:r>
        <w:rPr>
          <w:rFonts w:ascii="Times New Roman" w:hAnsi="Times New Roman"/>
          <w:sz w:val="24"/>
          <w:szCs w:val="24"/>
        </w:rPr>
        <w:t>podtočke</w:t>
      </w:r>
      <w:proofErr w:type="spellEnd"/>
      <w:r>
        <w:rPr>
          <w:rFonts w:ascii="Times New Roman" w:hAnsi="Times New Roman"/>
          <w:sz w:val="24"/>
          <w:szCs w:val="24"/>
        </w:rPr>
        <w:t xml:space="preserve"> c) ovog stavka, za vrijeme pružanja usluge pratnje;“.</w:t>
      </w:r>
      <w:bookmarkEnd w:id="4"/>
    </w:p>
    <w:p w14:paraId="3E5B1C28" w14:textId="77777777" w:rsidR="00607D91" w:rsidRDefault="00607D91" w:rsidP="00607D91">
      <w:pPr>
        <w:spacing w:after="20"/>
        <w:jc w:val="both"/>
        <w:rPr>
          <w:rFonts w:ascii="Times New Roman" w:hAnsi="Times New Roman"/>
          <w:sz w:val="24"/>
          <w:szCs w:val="24"/>
        </w:rPr>
      </w:pPr>
    </w:p>
    <w:p w14:paraId="4853F695" w14:textId="2F525816" w:rsidR="00607D91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582799FA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024B0296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članku 37. stavku 2. riječi „gradsko upravno tijelo nadležno za gospodarstvo“ zamjenjuju se riječju „ured“.</w:t>
      </w:r>
    </w:p>
    <w:p w14:paraId="12AEE426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5A734D5D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146BC52D" w14:textId="77777777" w:rsidR="00607D91" w:rsidRDefault="00607D91" w:rsidP="00607D91">
      <w:pPr>
        <w:spacing w:after="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PRIJELAZNE I ZAVRŠNE ODREDBE</w:t>
      </w:r>
    </w:p>
    <w:p w14:paraId="05780167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67DA8CC7" w14:textId="6DC021B9" w:rsidR="00607D91" w:rsidRDefault="00607D91" w:rsidP="00607D91">
      <w:pPr>
        <w:spacing w:after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4657AF9E" w14:textId="77777777" w:rsidR="00607D91" w:rsidRDefault="00607D91" w:rsidP="00607D91">
      <w:pPr>
        <w:spacing w:after="20"/>
        <w:rPr>
          <w:rFonts w:ascii="Times New Roman" w:hAnsi="Times New Roman"/>
          <w:sz w:val="24"/>
          <w:szCs w:val="24"/>
        </w:rPr>
      </w:pPr>
    </w:p>
    <w:p w14:paraId="2CF92DDF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Korisnicima inkluzivnog dodatka, kojima je rješenjem nadležnog tijela o priznavanju prava na inkluzivni dodatak prestalo pravo na doplatak za pomoć i njegu ili pravo na osobnu invalidninu i kojima je do stupanja na snagu ove odluke, zbog prestanka prava na doplatak za pomoć i njegu ili prava na osobnu invalidninu rješenjem ureda prestalo pravo na novčanu naknadu korisnicima doplatka za pomoć i njegu i korisnicima osobne invalidnine, pravo na novčanu naknadu korisnicima inkluzivnog dodatka pripada od prvoga dana sljedećeg mjeseca nakon mjeseca u kojem im je prestalo pravo na novčanu naknadu korisnicima doplatka za pomoć i njegu i korisnicima osobne invalidnine.</w:t>
      </w:r>
    </w:p>
    <w:p w14:paraId="6E6185F2" w14:textId="493E589D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Korisnicima kojima je zbog prestanka prava na doplatak za pomoć i njegu ili prava na osobnu invalidninu rješenjem ureda prestalo pravo na novčanu naknadu korisnicima doplatka za pomoć i njegu i korisnicima osobne invalidnine i kojima nije isplaćen novčani iznos povodom blagdana Uskrsa (</w:t>
      </w:r>
      <w:proofErr w:type="spellStart"/>
      <w:r>
        <w:rPr>
          <w:rFonts w:ascii="Times New Roman" w:hAnsi="Times New Roman"/>
          <w:sz w:val="24"/>
          <w:szCs w:val="24"/>
        </w:rPr>
        <w:t>uskrsnica</w:t>
      </w:r>
      <w:proofErr w:type="spellEnd"/>
      <w:r>
        <w:rPr>
          <w:rFonts w:ascii="Times New Roman" w:hAnsi="Times New Roman"/>
          <w:sz w:val="24"/>
          <w:szCs w:val="24"/>
        </w:rPr>
        <w:t>) za 2024., isplatit će se novčani iznos povodom blagdana Uskrsa (</w:t>
      </w:r>
      <w:proofErr w:type="spellStart"/>
      <w:r>
        <w:rPr>
          <w:rFonts w:ascii="Times New Roman" w:hAnsi="Times New Roman"/>
          <w:sz w:val="24"/>
          <w:szCs w:val="24"/>
        </w:rPr>
        <w:t>uskrsnica</w:t>
      </w:r>
      <w:proofErr w:type="spellEnd"/>
      <w:r>
        <w:rPr>
          <w:rFonts w:ascii="Times New Roman" w:hAnsi="Times New Roman"/>
          <w:sz w:val="24"/>
          <w:szCs w:val="24"/>
        </w:rPr>
        <w:t>) za 2024. ako ostvare pravo na novčanu naknadu korisnicima inkluzivnog dodatka temeljem zahtjeva podnesenog do 31. listopada 2024. godine.</w:t>
      </w:r>
    </w:p>
    <w:p w14:paraId="2E5C8F20" w14:textId="77777777" w:rsidR="00607D91" w:rsidRDefault="00607D91" w:rsidP="00607D91">
      <w:pPr>
        <w:spacing w:after="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EB7BFE" w14:textId="27722D72" w:rsidR="00607D91" w:rsidRDefault="00607D91" w:rsidP="00607D91">
      <w:pPr>
        <w:spacing w:after="2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8.</w:t>
      </w:r>
    </w:p>
    <w:p w14:paraId="7800900B" w14:textId="77777777" w:rsidR="00607D91" w:rsidRDefault="00607D91" w:rsidP="00607D91">
      <w:pPr>
        <w:spacing w:after="20" w:line="254" w:lineRule="auto"/>
        <w:jc w:val="both"/>
        <w:rPr>
          <w:rFonts w:ascii="Times New Roman" w:hAnsi="Times New Roman"/>
          <w:sz w:val="24"/>
          <w:szCs w:val="24"/>
        </w:rPr>
      </w:pPr>
    </w:p>
    <w:p w14:paraId="48A2EEDB" w14:textId="77777777" w:rsidR="00607D91" w:rsidRDefault="00607D91" w:rsidP="00607D91">
      <w:pPr>
        <w:spacing w:after="20"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6" w:name="_Hlk161142637"/>
      <w:r>
        <w:rPr>
          <w:rFonts w:ascii="Times New Roman" w:hAnsi="Times New Roman"/>
          <w:sz w:val="24"/>
          <w:szCs w:val="24"/>
        </w:rPr>
        <w:t>Ova odluka bit će objavljena u Službenom glasniku Grada Zagreba, a stupa na snagu 1. kolovoza 2024. godine.</w:t>
      </w:r>
      <w:bookmarkEnd w:id="6"/>
    </w:p>
    <w:p w14:paraId="2DB220F3" w14:textId="77777777" w:rsidR="00607D91" w:rsidRDefault="00607D91" w:rsidP="00607D91">
      <w:pPr>
        <w:spacing w:after="20" w:line="254" w:lineRule="auto"/>
        <w:jc w:val="both"/>
        <w:rPr>
          <w:rFonts w:ascii="Times New Roman" w:hAnsi="Times New Roman"/>
          <w:sz w:val="24"/>
          <w:szCs w:val="24"/>
        </w:rPr>
      </w:pPr>
    </w:p>
    <w:p w14:paraId="25A6D881" w14:textId="77777777" w:rsidR="00607D91" w:rsidRDefault="00607D91" w:rsidP="00607D91">
      <w:pPr>
        <w:spacing w:after="2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</w:p>
    <w:p w14:paraId="0CCC989F" w14:textId="77777777" w:rsidR="00607D91" w:rsidRDefault="00607D91" w:rsidP="00607D91">
      <w:pPr>
        <w:spacing w:after="2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</w:p>
    <w:p w14:paraId="2007B161" w14:textId="77777777" w:rsidR="00607D91" w:rsidRDefault="00607D91" w:rsidP="00607D91">
      <w:pPr>
        <w:spacing w:after="20" w:line="25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</w:p>
    <w:p w14:paraId="622C90C1" w14:textId="77777777" w:rsidR="00607D91" w:rsidRDefault="00607D91" w:rsidP="00607D91">
      <w:pPr>
        <w:spacing w:after="20" w:line="254" w:lineRule="auto"/>
        <w:jc w:val="both"/>
        <w:rPr>
          <w:rFonts w:ascii="Times New Roman" w:hAnsi="Times New Roman"/>
          <w:sz w:val="24"/>
          <w:szCs w:val="24"/>
        </w:rPr>
      </w:pPr>
    </w:p>
    <w:p w14:paraId="62BA36FE" w14:textId="77777777" w:rsidR="00607D91" w:rsidRDefault="00607D91" w:rsidP="00607D91">
      <w:pPr>
        <w:spacing w:after="20" w:line="254" w:lineRule="auto"/>
        <w:ind w:left="694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</w:t>
      </w:r>
    </w:p>
    <w:p w14:paraId="1CDCAA48" w14:textId="77777777" w:rsidR="00607D91" w:rsidRDefault="00607D91" w:rsidP="00607D91">
      <w:pPr>
        <w:spacing w:after="20" w:line="254" w:lineRule="auto"/>
        <w:ind w:left="694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Gradske skupštine</w:t>
      </w:r>
    </w:p>
    <w:p w14:paraId="587D573C" w14:textId="77777777" w:rsidR="00607D91" w:rsidRDefault="00607D91" w:rsidP="00607D91">
      <w:pPr>
        <w:spacing w:after="20" w:line="254" w:lineRule="auto"/>
        <w:ind w:left="694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Joško Klisović, v. r.</w:t>
      </w:r>
    </w:p>
    <w:p w14:paraId="5B8872C9" w14:textId="77777777" w:rsidR="00607D91" w:rsidRDefault="00607D91" w:rsidP="00607D91"/>
    <w:p w14:paraId="13865F44" w14:textId="77777777" w:rsidR="00607D91" w:rsidRDefault="00607D91" w:rsidP="00607D91"/>
    <w:p w14:paraId="3C60E9E6" w14:textId="77777777" w:rsidR="008508AB" w:rsidRPr="00607D91" w:rsidRDefault="008508AB" w:rsidP="00607D91"/>
    <w:sectPr w:rsidR="008508AB" w:rsidRPr="0060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0E"/>
    <w:rsid w:val="00011177"/>
    <w:rsid w:val="00036155"/>
    <w:rsid w:val="000D43CB"/>
    <w:rsid w:val="001070AD"/>
    <w:rsid w:val="001A2F06"/>
    <w:rsid w:val="003C6F08"/>
    <w:rsid w:val="004102F2"/>
    <w:rsid w:val="00490EF4"/>
    <w:rsid w:val="005B3D4C"/>
    <w:rsid w:val="00607D91"/>
    <w:rsid w:val="00736222"/>
    <w:rsid w:val="007E3994"/>
    <w:rsid w:val="008508AB"/>
    <w:rsid w:val="00905E62"/>
    <w:rsid w:val="00954FBC"/>
    <w:rsid w:val="00C87AB1"/>
    <w:rsid w:val="00D05C99"/>
    <w:rsid w:val="00D52FE2"/>
    <w:rsid w:val="00F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808D"/>
  <w15:chartTrackingRefBased/>
  <w15:docId w15:val="{69E7F3D1-71EF-49E3-B488-9461F65F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F0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Tihana Zadro</cp:lastModifiedBy>
  <cp:revision>8</cp:revision>
  <dcterms:created xsi:type="dcterms:W3CDTF">2024-05-20T09:20:00Z</dcterms:created>
  <dcterms:modified xsi:type="dcterms:W3CDTF">2024-05-22T12:50:00Z</dcterms:modified>
</cp:coreProperties>
</file>